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eastAsia="zh-CN"/>
        </w:rPr>
        <w:t>附件</w:t>
      </w:r>
      <w:r>
        <w:rPr>
          <w:rFonts w:hint="eastAsia" w:ascii="仿宋_GB2312" w:hAnsi="仿宋_GB2312" w:eastAsia="仿宋_GB2312" w:cs="仿宋_GB2312"/>
          <w:b w:val="0"/>
          <w:bCs/>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邀标评分表</w:t>
      </w:r>
      <w:bookmarkStart w:id="0" w:name="_GoBack"/>
      <w:bookmarkEnd w:id="0"/>
    </w:p>
    <w:tbl>
      <w:tblPr>
        <w:tblStyle w:val="6"/>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15"/>
        <w:gridCol w:w="94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4" w:type="dxa"/>
            <w:gridSpan w:val="2"/>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评审内容</w:t>
            </w:r>
          </w:p>
        </w:tc>
        <w:tc>
          <w:tcPr>
            <w:tcW w:w="945" w:type="dxa"/>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分值</w:t>
            </w:r>
          </w:p>
        </w:tc>
        <w:tc>
          <w:tcPr>
            <w:tcW w:w="5595" w:type="dxa"/>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Merge w:val="restart"/>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商务评分（</w:t>
            </w: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lang w:val="en-US" w:eastAsia="zh-CN"/>
              </w:rPr>
              <w:t>0分</w:t>
            </w:r>
            <w:r>
              <w:rPr>
                <w:rFonts w:hint="eastAsia" w:ascii="宋体" w:hAnsi="宋体" w:eastAsia="宋体" w:cs="宋体"/>
                <w:sz w:val="24"/>
                <w:szCs w:val="24"/>
                <w:vertAlign w:val="baseline"/>
                <w:lang w:eastAsia="zh-CN"/>
              </w:rPr>
              <w:t>）</w:t>
            </w:r>
          </w:p>
        </w:tc>
        <w:tc>
          <w:tcPr>
            <w:tcW w:w="1215"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同类业绩经验</w:t>
            </w:r>
          </w:p>
        </w:tc>
        <w:tc>
          <w:tcPr>
            <w:tcW w:w="94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0分</w:t>
            </w:r>
          </w:p>
        </w:tc>
        <w:tc>
          <w:tcPr>
            <w:tcW w:w="5595" w:type="dxa"/>
            <w:vAlign w:val="center"/>
          </w:tcPr>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供应商提供近三年有全国重点文物保护单位安防工程勘察设计项目业绩的，每提供1份业绩得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eastAsia="zh-CN"/>
              </w:rPr>
              <w:t>分，最多得</w:t>
            </w:r>
            <w:r>
              <w:rPr>
                <w:rFonts w:hint="eastAsia" w:ascii="宋体" w:hAnsi="宋体" w:cs="宋体"/>
                <w:sz w:val="24"/>
                <w:szCs w:val="24"/>
                <w:vertAlign w:val="baseline"/>
                <w:lang w:val="en-US" w:eastAsia="zh-CN"/>
              </w:rPr>
              <w:t>40</w:t>
            </w:r>
            <w:r>
              <w:rPr>
                <w:rFonts w:hint="eastAsia" w:ascii="宋体" w:hAnsi="宋体" w:eastAsia="宋体" w:cs="宋体"/>
                <w:sz w:val="24"/>
                <w:szCs w:val="24"/>
                <w:vertAlign w:val="baseline"/>
                <w:lang w:eastAsia="zh-CN"/>
              </w:rPr>
              <w:t>分。未提供不得分。</w:t>
            </w:r>
          </w:p>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注：响应文件中须提供有效的设计委托合同复印件、省文旅厅或省文物局关于项目设计方案的批复红头文件复印件、全国重点文物保护单位公布批次资料（国家文物局网站查询截图），缺少任意一项业绩无效，复印件和网站截图须逐页加盖</w:t>
            </w:r>
            <w:r>
              <w:rPr>
                <w:rFonts w:hint="eastAsia" w:ascii="宋体" w:hAnsi="宋体" w:cs="宋体"/>
                <w:b/>
                <w:bCs/>
                <w:sz w:val="24"/>
                <w:szCs w:val="24"/>
                <w:vertAlign w:val="baseline"/>
                <w:lang w:eastAsia="zh-CN"/>
              </w:rPr>
              <w:t>供应商</w:t>
            </w:r>
            <w:r>
              <w:rPr>
                <w:rFonts w:hint="eastAsia" w:ascii="宋体" w:hAnsi="宋体" w:eastAsia="宋体" w:cs="宋体"/>
                <w:b/>
                <w:bCs/>
                <w:sz w:val="24"/>
                <w:szCs w:val="24"/>
                <w:vertAlign w:val="baseli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Merge w:val="continue"/>
            <w:vAlign w:val="center"/>
          </w:tcPr>
          <w:p>
            <w:pPr>
              <w:spacing w:line="360" w:lineRule="auto"/>
              <w:jc w:val="center"/>
              <w:rPr>
                <w:rFonts w:hint="eastAsia" w:ascii="宋体" w:hAnsi="宋体" w:eastAsia="宋体" w:cs="宋体"/>
                <w:sz w:val="24"/>
                <w:szCs w:val="24"/>
                <w:vertAlign w:val="baseline"/>
                <w:lang w:eastAsia="zh-CN"/>
              </w:rPr>
            </w:pPr>
          </w:p>
        </w:tc>
        <w:tc>
          <w:tcPr>
            <w:tcW w:w="1215"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企业实力</w:t>
            </w:r>
          </w:p>
        </w:tc>
        <w:tc>
          <w:tcPr>
            <w:tcW w:w="94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0分</w:t>
            </w:r>
          </w:p>
        </w:tc>
        <w:tc>
          <w:tcPr>
            <w:tcW w:w="5595" w:type="dxa"/>
            <w:vAlign w:val="center"/>
          </w:tcPr>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供应商提供有效的质量管理体系认证证书、环境管理体系认证证书、中国职业健康安全管理体系认证证书，认证范围包含“建筑工程设计”的得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eastAsia="zh-CN"/>
              </w:rPr>
              <w:t>0分。</w:t>
            </w:r>
          </w:p>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注：须提供有效的认证证书复印件及该证书在全国认证认可信息公共服务平台（http://cx.cnca.cn）上状态为“有效”的查询结果网页或截图打印件并加盖</w:t>
            </w:r>
            <w:r>
              <w:rPr>
                <w:rFonts w:hint="eastAsia" w:ascii="宋体" w:hAnsi="宋体" w:cs="宋体"/>
                <w:b/>
                <w:bCs/>
                <w:sz w:val="24"/>
                <w:szCs w:val="24"/>
                <w:vertAlign w:val="baseline"/>
                <w:lang w:eastAsia="zh-CN"/>
              </w:rPr>
              <w:t>供应商</w:t>
            </w:r>
            <w:r>
              <w:rPr>
                <w:rFonts w:hint="eastAsia" w:ascii="宋体" w:hAnsi="宋体" w:eastAsia="宋体" w:cs="宋体"/>
                <w:b/>
                <w:bCs/>
                <w:sz w:val="24"/>
                <w:szCs w:val="24"/>
                <w:vertAlign w:val="baseline"/>
                <w:lang w:eastAsia="zh-CN"/>
              </w:rPr>
              <w:t>公章，未按要求提供不得分，以上证书缺一项不得分。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Merge w:val="continue"/>
            <w:vAlign w:val="center"/>
          </w:tcPr>
          <w:p>
            <w:pPr>
              <w:spacing w:line="360" w:lineRule="auto"/>
              <w:jc w:val="center"/>
              <w:rPr>
                <w:rFonts w:hint="eastAsia" w:ascii="宋体" w:hAnsi="宋体" w:eastAsia="宋体" w:cs="宋体"/>
                <w:sz w:val="24"/>
                <w:szCs w:val="24"/>
                <w:vertAlign w:val="baseline"/>
                <w:lang w:eastAsia="zh-CN"/>
              </w:rPr>
            </w:pPr>
          </w:p>
        </w:tc>
        <w:tc>
          <w:tcPr>
            <w:tcW w:w="1215"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人员配置</w:t>
            </w:r>
          </w:p>
        </w:tc>
        <w:tc>
          <w:tcPr>
            <w:tcW w:w="94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24</w:t>
            </w:r>
            <w:r>
              <w:rPr>
                <w:rFonts w:hint="eastAsia" w:ascii="宋体" w:hAnsi="宋体" w:eastAsia="宋体" w:cs="宋体"/>
                <w:sz w:val="24"/>
                <w:szCs w:val="24"/>
                <w:vertAlign w:val="baseline"/>
                <w:lang w:val="en-US" w:eastAsia="zh-CN"/>
              </w:rPr>
              <w:t>分</w:t>
            </w:r>
          </w:p>
        </w:tc>
        <w:tc>
          <w:tcPr>
            <w:tcW w:w="5595" w:type="dxa"/>
            <w:vAlign w:val="center"/>
          </w:tcPr>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拟配备项目负责人具有建筑类高级职称同时具有一级注册建筑工程师资格得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eastAsia="zh-CN"/>
              </w:rPr>
              <w:t>分，提供资格证书复印件、职称证书复印件及近半年社保缴纳证明，未提供不得分。</w:t>
            </w:r>
          </w:p>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拟配备的项目组成员(除项目负责人外),具备一名一级注册结构工程师资格同时具有高级职称的得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eastAsia="zh-CN"/>
              </w:rPr>
              <w:t>分,提供资格证书复印件、职称证书复印件及近半年社保缴纳证明，未提供不得分。</w:t>
            </w:r>
          </w:p>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拟配备的项目组成员(除项目负责人外),具备一名注册电气工程师（供配电）资格同时具有中级及以上职称的得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eastAsia="zh-CN"/>
              </w:rPr>
              <w:t>分,提供资格证书复印件、职称证书复印件及近半年社保缴纳证明，未提供不得分。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Merge w:val="continue"/>
            <w:vAlign w:val="center"/>
          </w:tcPr>
          <w:p>
            <w:pPr>
              <w:spacing w:line="360" w:lineRule="auto"/>
              <w:jc w:val="center"/>
              <w:rPr>
                <w:rFonts w:hint="eastAsia" w:ascii="宋体" w:hAnsi="宋体" w:eastAsia="宋体" w:cs="宋体"/>
                <w:sz w:val="24"/>
                <w:szCs w:val="24"/>
                <w:vertAlign w:val="baseline"/>
                <w:lang w:eastAsia="zh-CN"/>
              </w:rPr>
            </w:pPr>
          </w:p>
        </w:tc>
        <w:tc>
          <w:tcPr>
            <w:tcW w:w="1215"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对项目背景理解和认识，对重点、难点的分析</w:t>
            </w:r>
          </w:p>
        </w:tc>
        <w:tc>
          <w:tcPr>
            <w:tcW w:w="94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w:t>
            </w:r>
          </w:p>
        </w:tc>
        <w:tc>
          <w:tcPr>
            <w:tcW w:w="5595" w:type="dxa"/>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对项目背景全面了解，对设计方案编制目的理解透彻，对设计</w:t>
            </w:r>
            <w:r>
              <w:rPr>
                <w:rFonts w:hint="eastAsia" w:ascii="宋体" w:hAnsi="宋体" w:cs="宋体"/>
                <w:sz w:val="24"/>
                <w:szCs w:val="24"/>
                <w:lang w:eastAsia="zh-CN"/>
              </w:rPr>
              <w:t>方案</w:t>
            </w:r>
            <w:r>
              <w:rPr>
                <w:rFonts w:hint="eastAsia" w:ascii="宋体" w:hAnsi="宋体" w:eastAsia="宋体" w:cs="宋体"/>
                <w:sz w:val="24"/>
                <w:szCs w:val="24"/>
                <w:lang w:eastAsia="zh-CN"/>
              </w:rPr>
              <w:t>规划编制的主要任务把握清晰、准确，抓住核心，分析合理：</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优：项目背景全面了解，准确把握核心问题及重点，技术文件包括不限于：项目概述、防护需求、勘查报告、文物保护措施，</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eastAsia="zh-CN"/>
              </w:rPr>
              <w:t>分；</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良：项目背景较了解，较能把握核心问题及重点，</w:t>
            </w:r>
            <w:r>
              <w:rPr>
                <w:rFonts w:hint="eastAsia" w:ascii="宋体" w:hAnsi="宋体" w:cs="宋体"/>
                <w:sz w:val="24"/>
                <w:szCs w:val="24"/>
                <w:lang w:val="en-US" w:eastAsia="zh-CN"/>
              </w:rPr>
              <w:t>11</w:t>
            </w:r>
            <w:r>
              <w:rPr>
                <w:rFonts w:hint="eastAsia" w:ascii="宋体" w:hAnsi="宋体" w:eastAsia="宋体" w:cs="宋体"/>
                <w:sz w:val="24"/>
                <w:szCs w:val="24"/>
                <w:lang w:eastAsia="zh-CN"/>
              </w:rPr>
              <w:t>分；</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可：项目背景基本了解，基本把握核心问题及重点，</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差：项目背景不了解，不能把握核心问题及重点，</w:t>
            </w:r>
            <w:r>
              <w:rPr>
                <w:rFonts w:hint="eastAsia" w:ascii="宋体" w:hAnsi="宋体" w:eastAsia="宋体" w:cs="宋体"/>
                <w:sz w:val="24"/>
                <w:szCs w:val="24"/>
                <w:lang w:val="en-US" w:eastAsia="zh-CN"/>
              </w:rPr>
              <w:t>0分。</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56E35"/>
    <w:rsid w:val="4483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50" w:afterLines="50" w:afterAutospacing="0" w:line="360" w:lineRule="auto"/>
      <w:jc w:val="center"/>
      <w:outlineLvl w:val="0"/>
    </w:pPr>
    <w:rPr>
      <w:b/>
      <w:kern w:val="44"/>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WPS_1591325807</cp:lastModifiedBy>
  <dcterms:modified xsi:type="dcterms:W3CDTF">2022-08-18T08:13:15Z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